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86AAF" w14:textId="77777777" w:rsidR="003C4B3D" w:rsidRPr="003C4B3D" w:rsidRDefault="005B71D9" w:rsidP="003C4B3D">
      <w:pPr>
        <w:rPr>
          <w:rFonts w:ascii="Times New Roman" w:eastAsia="MS PGothic" w:hAnsi="Times New Roman" w:cs="Times New Roman"/>
          <w:color w:val="000000"/>
          <w:lang w:val="en-US"/>
        </w:rPr>
      </w:pPr>
      <w:r w:rsidRPr="003C4B3D">
        <w:rPr>
          <w:rFonts w:ascii="Times New Roman" w:eastAsia="MS PGothic" w:hAnsi="Times New Roman" w:cs="Times New Roman"/>
          <w:b/>
          <w:color w:val="000000"/>
          <w:sz w:val="24"/>
          <w:szCs w:val="24"/>
        </w:rPr>
        <w:t xml:space="preserve">Title: </w:t>
      </w:r>
      <w:r w:rsidR="003C4B3D" w:rsidRPr="003C4B3D">
        <w:rPr>
          <w:rFonts w:ascii="Times New Roman" w:eastAsia="MS PGothic" w:hAnsi="Times New Roman" w:cs="Times New Roman"/>
          <w:color w:val="000000"/>
          <w:lang w:val="en-US"/>
        </w:rPr>
        <w:t>Regulatory Innovation in Value-Based Drug Pricing: Leveraging Real-World Evidence (RWE) and Artificial Intelligence (AI) for Accelerated Approvals, Sustainable Access, and Balanced Pharmaceutical Innovation</w:t>
      </w:r>
    </w:p>
    <w:p w14:paraId="29787F24" w14:textId="2427E8D6" w:rsidR="005B71D9" w:rsidRPr="003C4B3D" w:rsidRDefault="005B71D9" w:rsidP="005B71D9">
      <w:pPr>
        <w:rPr>
          <w:rFonts w:ascii="Times New Roman" w:eastAsia="MS PGothic" w:hAnsi="Times New Roman" w:cs="Times New Roman"/>
          <w:color w:val="000000"/>
          <w:sz w:val="24"/>
          <w:szCs w:val="24"/>
        </w:rPr>
      </w:pPr>
      <w:r w:rsidRPr="003C4B3D">
        <w:rPr>
          <w:rFonts w:ascii="Times New Roman" w:eastAsia="MS PGothic" w:hAnsi="Times New Roman" w:cs="Times New Roman"/>
          <w:b/>
          <w:color w:val="000000"/>
          <w:sz w:val="24"/>
          <w:szCs w:val="24"/>
        </w:rPr>
        <w:t>Name</w:t>
      </w:r>
      <w:r w:rsidRPr="003C4B3D">
        <w:rPr>
          <w:rFonts w:ascii="Times New Roman" w:eastAsia="MS PGothic" w:hAnsi="Times New Roman" w:cs="Times New Roman"/>
          <w:color w:val="000000"/>
          <w:sz w:val="24"/>
          <w:szCs w:val="24"/>
        </w:rPr>
        <w:t xml:space="preserve">: </w:t>
      </w:r>
      <w:r w:rsidR="00F37BD2">
        <w:rPr>
          <w:rFonts w:ascii="Times New Roman" w:eastAsia="MS PGothic" w:hAnsi="Times New Roman" w:cs="Times New Roman"/>
          <w:color w:val="000000"/>
          <w:sz w:val="24"/>
          <w:szCs w:val="24"/>
        </w:rPr>
        <w:t>XXXX</w:t>
      </w:r>
    </w:p>
    <w:p w14:paraId="0EB249A5" w14:textId="19EBCB00" w:rsidR="005B71D9" w:rsidRDefault="005B71D9" w:rsidP="005B71D9">
      <w:pPr>
        <w:rPr>
          <w:rFonts w:ascii="Times New Roman" w:eastAsia="MS PGothic" w:hAnsi="Times New Roman" w:cs="Times New Roman"/>
          <w:color w:val="000000"/>
          <w:sz w:val="24"/>
          <w:szCs w:val="24"/>
        </w:rPr>
      </w:pPr>
      <w:r w:rsidRPr="003C4B3D">
        <w:rPr>
          <w:rFonts w:ascii="Times New Roman" w:hAnsi="Times New Roman" w:cs="Times New Roman"/>
          <w:b/>
          <w:sz w:val="24"/>
          <w:szCs w:val="24"/>
        </w:rPr>
        <w:t xml:space="preserve">Affiliation: </w:t>
      </w:r>
      <w:r w:rsidR="00F37BD2">
        <w:rPr>
          <w:rFonts w:ascii="Times New Roman" w:eastAsia="MS PGothic" w:hAnsi="Times New Roman" w:cs="Times New Roman"/>
          <w:color w:val="000000"/>
          <w:sz w:val="24"/>
          <w:szCs w:val="24"/>
        </w:rPr>
        <w:t>XXXX</w:t>
      </w:r>
    </w:p>
    <w:p w14:paraId="5BA078A8" w14:textId="1DE36C78" w:rsidR="00F37BD2" w:rsidRPr="003C4B3D" w:rsidRDefault="00F37BD2" w:rsidP="005B71D9">
      <w:pPr>
        <w:rPr>
          <w:rFonts w:ascii="Times New Roman" w:hAnsi="Times New Roman" w:cs="Times New Roman"/>
          <w:sz w:val="24"/>
          <w:szCs w:val="24"/>
        </w:rPr>
      </w:pPr>
      <w:r w:rsidRPr="00F37BD2">
        <w:rPr>
          <w:rFonts w:ascii="Times New Roman" w:eastAsia="MS PGothic" w:hAnsi="Times New Roman" w:cs="Times New Roman"/>
          <w:b/>
          <w:color w:val="000000"/>
          <w:sz w:val="24"/>
          <w:szCs w:val="24"/>
        </w:rPr>
        <w:t>Email id</w:t>
      </w:r>
      <w:r>
        <w:rPr>
          <w:rFonts w:ascii="Times New Roman" w:eastAsia="MS PGothic" w:hAnsi="Times New Roman" w:cs="Times New Roman"/>
          <w:color w:val="000000"/>
          <w:sz w:val="24"/>
          <w:szCs w:val="24"/>
        </w:rPr>
        <w:t>: XXXX</w:t>
      </w:r>
    </w:p>
    <w:p w14:paraId="2D1B7867" w14:textId="77777777" w:rsidR="003C4B3D" w:rsidRPr="003C4B3D" w:rsidRDefault="003C4B3D" w:rsidP="003C4B3D">
      <w:pPr>
        <w:rPr>
          <w:rFonts w:ascii="Times New Roman" w:hAnsi="Times New Roman" w:cs="Times New Roman"/>
          <w:lang w:val="en-US"/>
        </w:rPr>
      </w:pPr>
      <w:r w:rsidRPr="003C4B3D">
        <w:rPr>
          <w:rFonts w:ascii="Times New Roman" w:hAnsi="Times New Roman" w:cs="Times New Roman"/>
          <w:b/>
          <w:bCs/>
          <w:lang w:val="en-US"/>
        </w:rPr>
        <w:t>Abstract</w:t>
      </w:r>
    </w:p>
    <w:p w14:paraId="11E6E409" w14:textId="3A12539D" w:rsidR="003C4B3D" w:rsidRPr="003C4B3D" w:rsidRDefault="003C4B3D" w:rsidP="003C4B3D">
      <w:pPr>
        <w:rPr>
          <w:rFonts w:ascii="Times New Roman" w:hAnsi="Times New Roman" w:cs="Times New Roman"/>
          <w:lang w:val="en-US"/>
        </w:rPr>
      </w:pPr>
      <w:r w:rsidRPr="003C4B3D">
        <w:rPr>
          <w:rFonts w:ascii="Times New Roman" w:hAnsi="Times New Roman" w:cs="Times New Roman"/>
          <w:b/>
          <w:bCs/>
          <w:lang w:val="en-US"/>
        </w:rPr>
        <w:t>Background/Objective:</w:t>
      </w:r>
      <w:r w:rsidRPr="003C4B3D">
        <w:rPr>
          <w:rFonts w:ascii="Times New Roman" w:hAnsi="Times New Roman" w:cs="Times New Roman"/>
          <w:lang w:val="en-US"/>
        </w:rPr>
        <w:t xml:space="preserve"> The pharmaceutical industry grapples with skyrocketing development costs, pricing pressures, and urgent demands for equitable patient access</w:t>
      </w:r>
      <w:r>
        <w:rPr>
          <w:rFonts w:ascii="Times New Roman" w:hAnsi="Times New Roman" w:cs="Times New Roman"/>
          <w:lang w:val="en-US"/>
        </w:rPr>
        <w:t xml:space="preserve">, </w:t>
      </w:r>
      <w:r w:rsidRPr="003C4B3D">
        <w:rPr>
          <w:rFonts w:ascii="Times New Roman" w:hAnsi="Times New Roman" w:cs="Times New Roman"/>
          <w:lang w:val="en-US"/>
        </w:rPr>
        <w:t>particularly in oncology, rare diseases, and precision medicine. Traditional models often leave high-value therapies like gene treatments for spinal muscular atrophy or ultra-rare cancers priced beyond reach, while regulatory delays compound unmet needs. This analysis explores how regulatory innovations</w:t>
      </w:r>
      <w:r>
        <w:rPr>
          <w:rFonts w:ascii="Times New Roman" w:hAnsi="Times New Roman" w:cs="Times New Roman"/>
          <w:lang w:val="en-US"/>
        </w:rPr>
        <w:t xml:space="preserve">, </w:t>
      </w:r>
      <w:r w:rsidRPr="003C4B3D">
        <w:rPr>
          <w:rFonts w:ascii="Times New Roman" w:hAnsi="Times New Roman" w:cs="Times New Roman"/>
          <w:lang w:val="en-US"/>
        </w:rPr>
        <w:t>integrating RWE and AI-driven pharmacovigilance</w:t>
      </w:r>
      <w:r>
        <w:rPr>
          <w:rFonts w:ascii="Times New Roman" w:hAnsi="Times New Roman" w:cs="Times New Roman"/>
          <w:lang w:val="en-US"/>
        </w:rPr>
        <w:t xml:space="preserve">, </w:t>
      </w:r>
      <w:r w:rsidRPr="003C4B3D">
        <w:rPr>
          <w:rFonts w:ascii="Times New Roman" w:hAnsi="Times New Roman" w:cs="Times New Roman"/>
          <w:lang w:val="en-US"/>
        </w:rPr>
        <w:t>can power value-based pricing (VBP) frameworks. By tying reimbursement to demonstrated real-world outcomes, these tools promise to accelerate approvals, mitigate innovation risks from price controls, and foster global harmonization between the FDA and EMA. What if regulatory pathways could simultaneously speed life-saving therapies to patients and ensure pricing reflects verifiable value?</w:t>
      </w:r>
    </w:p>
    <w:p w14:paraId="61C6D95D" w14:textId="77777777" w:rsidR="003C4B3D" w:rsidRPr="003C4B3D" w:rsidRDefault="003C4B3D" w:rsidP="00F37BD2">
      <w:pPr>
        <w:jc w:val="both"/>
        <w:rPr>
          <w:rFonts w:ascii="Times New Roman" w:hAnsi="Times New Roman" w:cs="Times New Roman"/>
          <w:lang w:val="en-US"/>
        </w:rPr>
      </w:pPr>
      <w:r w:rsidRPr="003C4B3D">
        <w:rPr>
          <w:rFonts w:ascii="Times New Roman" w:hAnsi="Times New Roman" w:cs="Times New Roman"/>
          <w:b/>
          <w:bCs/>
          <w:lang w:val="en-US"/>
        </w:rPr>
        <w:t>Methods:</w:t>
      </w:r>
      <w:r w:rsidRPr="003C4B3D">
        <w:rPr>
          <w:rFonts w:ascii="Times New Roman" w:hAnsi="Times New Roman" w:cs="Times New Roman"/>
          <w:lang w:val="en-US"/>
        </w:rPr>
        <w:t xml:space="preserve"> A systematic review examined FDA and EMA regulatory documents (2020–2025), peer-reviewed RWE studies, and key </w:t>
      </w:r>
      <w:proofErr w:type="spellStart"/>
      <w:r w:rsidRPr="003C4B3D">
        <w:rPr>
          <w:rFonts w:ascii="Times New Roman" w:hAnsi="Times New Roman" w:cs="Times New Roman"/>
          <w:lang w:val="en-US"/>
        </w:rPr>
        <w:t>guidances</w:t>
      </w:r>
      <w:proofErr w:type="spellEnd"/>
      <w:r w:rsidRPr="003C4B3D">
        <w:rPr>
          <w:rFonts w:ascii="Times New Roman" w:hAnsi="Times New Roman" w:cs="Times New Roman"/>
          <w:lang w:val="en-US"/>
        </w:rPr>
        <w:t xml:space="preserve"> including the FDA’s January 2025 draft on AI for regulatory decision-making. Quantitative metrics on RWE incorporation, AI applications in safety monitoring, and economic impacts of pricing on R&amp;D were extracted. Case studies from oncology label expansions and post-marketing surveillance were evaluated using risk-based credibility frameworks, with proposed VBP strategies benchmarked against real-world outcomes data and the Pharmaceutical Innovativeness Index.</w:t>
      </w:r>
    </w:p>
    <w:p w14:paraId="248DADCD" w14:textId="239DB194" w:rsidR="003C4B3D" w:rsidRPr="003C4B3D" w:rsidRDefault="003C4B3D" w:rsidP="00F37BD2">
      <w:pPr>
        <w:jc w:val="both"/>
        <w:rPr>
          <w:rFonts w:ascii="Times New Roman" w:hAnsi="Times New Roman" w:cs="Times New Roman"/>
          <w:lang w:val="en-US"/>
        </w:rPr>
      </w:pPr>
      <w:r w:rsidRPr="003C4B3D">
        <w:rPr>
          <w:rFonts w:ascii="Times New Roman" w:hAnsi="Times New Roman" w:cs="Times New Roman"/>
          <w:b/>
          <w:bCs/>
          <w:lang w:val="en-US"/>
        </w:rPr>
        <w:t>Results:</w:t>
      </w:r>
      <w:r w:rsidRPr="003C4B3D">
        <w:rPr>
          <w:rFonts w:ascii="Times New Roman" w:hAnsi="Times New Roman" w:cs="Times New Roman"/>
          <w:lang w:val="en-US"/>
        </w:rPr>
        <w:t xml:space="preserve"> RWE featured in 23–27% of FDA labeling expansions (2022–2024), with oncology dominating at 43.6%; retrospective EHR cohorts drove 75% of supporting evidence. Strikingly, RWE-enabled external control arms have transformed approvals where randomized trials are impractical</w:t>
      </w:r>
      <w:r>
        <w:rPr>
          <w:rFonts w:ascii="Times New Roman" w:hAnsi="Times New Roman" w:cs="Times New Roman"/>
          <w:lang w:val="en-US"/>
        </w:rPr>
        <w:t xml:space="preserve">, </w:t>
      </w:r>
      <w:r w:rsidRPr="003C4B3D">
        <w:rPr>
          <w:rFonts w:ascii="Times New Roman" w:hAnsi="Times New Roman" w:cs="Times New Roman"/>
          <w:lang w:val="en-US"/>
        </w:rPr>
        <w:t>for instance, in ultra-rare cancers, single-arm trials benchmarked against real-world registries delivered overall response rates of 33% versus just 10% in historical controls, supporting accelerated approvals without compromising safety or efficacy. EMA incorporation stood at ~9% (2020–2023) but surged 47% in regulator-led RWD studies by 2025 via the expanded DARWIN EU network (now covering ~180 million patients). AI applications, aligned with the FDA’s new 7-step credibility model, enable real-time pharmacovigilance signal detection and have already reduced post-approval study burdens. Economic modeling reveals that a 10% U.S. revenue cut from rigid pricing could slash innovation output by 2.5–15%, yet VBP frameworks anchored in RWE-derived value metrics have demonstrated 20–30% faster review timelines in select oncology and orphan cases</w:t>
      </w:r>
      <w:r>
        <w:rPr>
          <w:rFonts w:ascii="Times New Roman" w:hAnsi="Times New Roman" w:cs="Times New Roman"/>
          <w:lang w:val="en-US"/>
        </w:rPr>
        <w:t xml:space="preserve">, </w:t>
      </w:r>
      <w:r w:rsidRPr="003C4B3D">
        <w:rPr>
          <w:rFonts w:ascii="Times New Roman" w:hAnsi="Times New Roman" w:cs="Times New Roman"/>
          <w:lang w:val="en-US"/>
        </w:rPr>
        <w:t xml:space="preserve">delivering therapies to </w:t>
      </w:r>
      <w:proofErr w:type="gramStart"/>
      <w:r w:rsidRPr="003C4B3D">
        <w:rPr>
          <w:rFonts w:ascii="Times New Roman" w:hAnsi="Times New Roman" w:cs="Times New Roman"/>
          <w:lang w:val="en-US"/>
        </w:rPr>
        <w:t>patients</w:t>
      </w:r>
      <w:proofErr w:type="gramEnd"/>
      <w:r w:rsidRPr="003C4B3D">
        <w:rPr>
          <w:rFonts w:ascii="Times New Roman" w:hAnsi="Times New Roman" w:cs="Times New Roman"/>
          <w:lang w:val="en-US"/>
        </w:rPr>
        <w:t xml:space="preserve"> years earlier while aligning costs with outcomes.</w:t>
      </w:r>
    </w:p>
    <w:p w14:paraId="6A514792" w14:textId="27865565" w:rsidR="003C4B3D" w:rsidRPr="003C4B3D" w:rsidRDefault="003C4B3D" w:rsidP="00F37BD2">
      <w:pPr>
        <w:jc w:val="both"/>
        <w:rPr>
          <w:rFonts w:ascii="Times New Roman" w:hAnsi="Times New Roman" w:cs="Times New Roman"/>
          <w:lang w:val="en-US"/>
        </w:rPr>
      </w:pPr>
      <w:r w:rsidRPr="003C4B3D">
        <w:rPr>
          <w:rFonts w:ascii="Times New Roman" w:hAnsi="Times New Roman" w:cs="Times New Roman"/>
          <w:b/>
          <w:bCs/>
          <w:lang w:val="en-US"/>
        </w:rPr>
        <w:t>Conclusions:</w:t>
      </w:r>
      <w:r w:rsidRPr="003C4B3D">
        <w:rPr>
          <w:rFonts w:ascii="Times New Roman" w:hAnsi="Times New Roman" w:cs="Times New Roman"/>
          <w:lang w:val="en-US"/>
        </w:rPr>
        <w:t xml:space="preserve"> RWE and AI integration offers a transformative, evidence-driven pathway to VBP that not only accelerates patient access but also safeguards pharmaceutical innovation amid global pricing scrutiny. Hybrid frameworks</w:t>
      </w:r>
      <w:r>
        <w:rPr>
          <w:rFonts w:ascii="Times New Roman" w:hAnsi="Times New Roman" w:cs="Times New Roman"/>
          <w:lang w:val="en-US"/>
        </w:rPr>
        <w:t xml:space="preserve">, </w:t>
      </w:r>
      <w:r w:rsidRPr="003C4B3D">
        <w:rPr>
          <w:rFonts w:ascii="Times New Roman" w:hAnsi="Times New Roman" w:cs="Times New Roman"/>
          <w:lang w:val="en-US"/>
        </w:rPr>
        <w:t>merging RWE-validated endpoints with AI-optimized safety surveillance</w:t>
      </w:r>
      <w:r>
        <w:rPr>
          <w:rFonts w:ascii="Times New Roman" w:hAnsi="Times New Roman" w:cs="Times New Roman"/>
          <w:lang w:val="en-US"/>
        </w:rPr>
        <w:t xml:space="preserve">, </w:t>
      </w:r>
      <w:r w:rsidRPr="003C4B3D">
        <w:rPr>
          <w:rFonts w:ascii="Times New Roman" w:hAnsi="Times New Roman" w:cs="Times New Roman"/>
          <w:lang w:val="en-US"/>
        </w:rPr>
        <w:t>bridge current gaps in ICH processes and enable dynamic, outcomes-linked reimbursement worldwide. Real-world successes, such as RWE-supported ultra-rare oncology approvals and AI-enhanced pharmacovigilance, hint at a future where regulatory affairs become the catalyst for equitable, sustainable progress. Implementation priorities include standardized RWE platforms, AI regulatory sandboxes, and cross-agency pilots. These advances will redefine stakeholder value</w:t>
      </w:r>
      <w:r>
        <w:rPr>
          <w:rFonts w:ascii="Times New Roman" w:hAnsi="Times New Roman" w:cs="Times New Roman"/>
          <w:lang w:val="en-US"/>
        </w:rPr>
        <w:t xml:space="preserve">, </w:t>
      </w:r>
      <w:r w:rsidRPr="003C4B3D">
        <w:rPr>
          <w:rFonts w:ascii="Times New Roman" w:hAnsi="Times New Roman" w:cs="Times New Roman"/>
          <w:lang w:val="en-US"/>
        </w:rPr>
        <w:t>payers gain cost certainty, patients gain faster access, and innovators retain incentives for breakthrough therapies. Prospective studies quantifying long-term R&amp;D impacts are now essential to scale this vision.</w:t>
      </w:r>
    </w:p>
    <w:p w14:paraId="299D640E" w14:textId="6C03AF86" w:rsidR="0A0D605A" w:rsidRPr="003C4B3D" w:rsidRDefault="003C4B3D" w:rsidP="00F37BD2">
      <w:pPr>
        <w:jc w:val="both"/>
        <w:rPr>
          <w:rFonts w:ascii="Times New Roman" w:hAnsi="Times New Roman" w:cs="Times New Roman"/>
          <w:lang w:val="en-US"/>
        </w:rPr>
      </w:pPr>
      <w:bookmarkStart w:id="0" w:name="_GoBack"/>
      <w:r w:rsidRPr="003C4B3D">
        <w:rPr>
          <w:rFonts w:ascii="Times New Roman" w:hAnsi="Times New Roman" w:cs="Times New Roman"/>
          <w:b/>
          <w:bCs/>
          <w:lang w:val="en-US"/>
        </w:rPr>
        <w:t>Keywords:</w:t>
      </w:r>
      <w:r w:rsidRPr="003C4B3D">
        <w:rPr>
          <w:rFonts w:ascii="Times New Roman" w:hAnsi="Times New Roman" w:cs="Times New Roman"/>
          <w:lang w:val="en-US"/>
        </w:rPr>
        <w:t xml:space="preserve"> Regulatory Innovation, Value-Based Pricing, Real-World Evidence, Artificial Intelligence, Pharmacovigilance, Accelerated Approvals, FDA/EMA Harmonization, Oncology &amp; Rare Diseases</w:t>
      </w:r>
      <w:bookmarkEnd w:id="0"/>
    </w:p>
    <w:sectPr w:rsidR="0A0D605A" w:rsidRPr="003C4B3D" w:rsidSect="00E12A0B">
      <w:headerReference w:type="even" r:id="rId7"/>
      <w:headerReference w:type="default" r:id="rId8"/>
      <w:footerReference w:type="default" r:id="rId9"/>
      <w:headerReference w:type="first" r:id="rId10"/>
      <w:pgSz w:w="11906" w:h="16838"/>
      <w:pgMar w:top="1440" w:right="1440" w:bottom="1440"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55ACD" w14:textId="77777777" w:rsidR="000E2488" w:rsidRDefault="000E2488" w:rsidP="00E12A0B">
      <w:pPr>
        <w:spacing w:after="0" w:line="240" w:lineRule="auto"/>
      </w:pPr>
      <w:r>
        <w:separator/>
      </w:r>
    </w:p>
  </w:endnote>
  <w:endnote w:type="continuationSeparator" w:id="0">
    <w:p w14:paraId="5C782141" w14:textId="77777777" w:rsidR="000E2488" w:rsidRDefault="000E2488" w:rsidP="00E12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99379" w14:textId="5C188B3D" w:rsidR="00914FA4" w:rsidRPr="00914FA4" w:rsidRDefault="00914FA4" w:rsidP="00914FA4">
    <w:pPr>
      <w:spacing w:before="100" w:beforeAutospacing="1" w:after="100" w:afterAutospacing="1" w:line="240" w:lineRule="auto"/>
      <w:rPr>
        <w:rFonts w:ascii="Times New Roman" w:eastAsia="Times New Roman" w:hAnsi="Times New Roman" w:cs="Times New Roman"/>
        <w:sz w:val="24"/>
        <w:szCs w:val="24"/>
        <w:lang w:eastAsia="en-I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BB663" w14:textId="77777777" w:rsidR="000E2488" w:rsidRDefault="000E2488" w:rsidP="00E12A0B">
      <w:pPr>
        <w:spacing w:after="0" w:line="240" w:lineRule="auto"/>
      </w:pPr>
      <w:r>
        <w:separator/>
      </w:r>
    </w:p>
  </w:footnote>
  <w:footnote w:type="continuationSeparator" w:id="0">
    <w:p w14:paraId="065A0E9D" w14:textId="77777777" w:rsidR="000E2488" w:rsidRDefault="000E2488" w:rsidP="00E12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2CB0E" w14:textId="77777777" w:rsidR="00A84B56" w:rsidRDefault="000E2488">
    <w:pPr>
      <w:pStyle w:val="Header"/>
    </w:pPr>
    <w:r>
      <w:rPr>
        <w:noProof/>
        <w:lang w:val="en-US"/>
      </w:rPr>
      <w:pict w14:anchorId="1B473B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831188" o:spid="_x0000_s2051" type="#_x0000_t75" style="position:absolute;margin-left:0;margin-top:0;width:479.6pt;height:479.6pt;z-index:-251657216;mso-position-horizontal:center;mso-position-horizontal-relative:margin;mso-position-vertical:center;mso-position-vertical-relative:margin" o:allowincell="f">
          <v:imagedata r:id="rId1" o:title="hspi-icon"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39945" w14:textId="5AB679FE" w:rsidR="0039736F" w:rsidRPr="003C4B3D" w:rsidRDefault="000E2488" w:rsidP="003C4B3D">
    <w:pPr>
      <w:spacing w:before="100" w:beforeAutospacing="1" w:after="100" w:afterAutospacing="1" w:line="240" w:lineRule="auto"/>
      <w:jc w:val="center"/>
      <w:rPr>
        <w:rFonts w:ascii="Times New Roman" w:eastAsia="Times New Roman" w:hAnsi="Times New Roman" w:cs="Times New Roman"/>
        <w:b/>
        <w:bCs/>
        <w:sz w:val="28"/>
        <w:szCs w:val="28"/>
        <w:lang w:val="en-US" w:eastAsia="en-IN"/>
      </w:rPr>
    </w:pPr>
    <w:r>
      <w:rPr>
        <w:noProof/>
        <w:lang w:val="en-US"/>
      </w:rPr>
      <w:pict w14:anchorId="5698EC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831189" o:spid="_x0000_s2052" type="#_x0000_t75" style="position:absolute;left:0;text-align:left;margin-left:0;margin-top:0;width:479.6pt;height:479.6pt;z-index:-251656192;mso-position-horizontal:center;mso-position-horizontal-relative:margin;mso-position-vertical:center;mso-position-vertical-relative:margin" o:allowincell="f">
          <v:imagedata r:id="rId1" o:title="hspi-icon"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6DB82" w14:textId="77777777" w:rsidR="00A84B56" w:rsidRDefault="000E2488">
    <w:pPr>
      <w:pStyle w:val="Header"/>
    </w:pPr>
    <w:r>
      <w:rPr>
        <w:noProof/>
        <w:lang w:val="en-US"/>
      </w:rPr>
      <w:pict w14:anchorId="2FD812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831187" o:spid="_x0000_s2050" type="#_x0000_t75" style="position:absolute;margin-left:0;margin-top:0;width:479.6pt;height:479.6pt;z-index:-251658240;mso-position-horizontal:center;mso-position-horizontal-relative:margin;mso-position-vertical:center;mso-position-vertical-relative:margin" o:allowincell="f">
          <v:imagedata r:id="rId1" o:title="hspi-icon"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A0B"/>
    <w:rsid w:val="000E2488"/>
    <w:rsid w:val="00125B4B"/>
    <w:rsid w:val="00156041"/>
    <w:rsid w:val="002C108F"/>
    <w:rsid w:val="0039736F"/>
    <w:rsid w:val="003C4B3D"/>
    <w:rsid w:val="00447F8C"/>
    <w:rsid w:val="005B3DAC"/>
    <w:rsid w:val="005B71D9"/>
    <w:rsid w:val="005C6E0E"/>
    <w:rsid w:val="005F47BB"/>
    <w:rsid w:val="0080360F"/>
    <w:rsid w:val="008417B9"/>
    <w:rsid w:val="00853A4A"/>
    <w:rsid w:val="00854A5F"/>
    <w:rsid w:val="00914FA4"/>
    <w:rsid w:val="00927945"/>
    <w:rsid w:val="00954216"/>
    <w:rsid w:val="00A84B56"/>
    <w:rsid w:val="00B33C9C"/>
    <w:rsid w:val="00B80B1A"/>
    <w:rsid w:val="00BB3048"/>
    <w:rsid w:val="00BF1181"/>
    <w:rsid w:val="00C44E56"/>
    <w:rsid w:val="00CF6CBD"/>
    <w:rsid w:val="00D642CD"/>
    <w:rsid w:val="00D90084"/>
    <w:rsid w:val="00DA6FA6"/>
    <w:rsid w:val="00DF1FF0"/>
    <w:rsid w:val="00DF6916"/>
    <w:rsid w:val="00E12A0B"/>
    <w:rsid w:val="00F37BD2"/>
    <w:rsid w:val="00F404C6"/>
    <w:rsid w:val="00F44593"/>
    <w:rsid w:val="00FF15C8"/>
    <w:rsid w:val="00FF6CC3"/>
    <w:rsid w:val="0A0D605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136E7E1"/>
  <w15:chartTrackingRefBased/>
  <w15:docId w15:val="{8B6049BB-589C-42DE-B00A-3B94289E7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1D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2A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A0B"/>
  </w:style>
  <w:style w:type="paragraph" w:styleId="Footer">
    <w:name w:val="footer"/>
    <w:basedOn w:val="Normal"/>
    <w:link w:val="FooterChar"/>
    <w:uiPriority w:val="99"/>
    <w:unhideWhenUsed/>
    <w:rsid w:val="00E12A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A0B"/>
  </w:style>
  <w:style w:type="paragraph" w:styleId="NormalWeb">
    <w:name w:val="Normal (Web)"/>
    <w:basedOn w:val="Normal"/>
    <w:uiPriority w:val="99"/>
    <w:unhideWhenUsed/>
    <w:rsid w:val="00E12A0B"/>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90500">
      <w:bodyDiv w:val="1"/>
      <w:marLeft w:val="0"/>
      <w:marRight w:val="0"/>
      <w:marTop w:val="0"/>
      <w:marBottom w:val="0"/>
      <w:divBdr>
        <w:top w:val="none" w:sz="0" w:space="0" w:color="auto"/>
        <w:left w:val="none" w:sz="0" w:space="0" w:color="auto"/>
        <w:bottom w:val="none" w:sz="0" w:space="0" w:color="auto"/>
        <w:right w:val="none" w:sz="0" w:space="0" w:color="auto"/>
      </w:divBdr>
    </w:div>
    <w:div w:id="240022829">
      <w:bodyDiv w:val="1"/>
      <w:marLeft w:val="0"/>
      <w:marRight w:val="0"/>
      <w:marTop w:val="0"/>
      <w:marBottom w:val="0"/>
      <w:divBdr>
        <w:top w:val="none" w:sz="0" w:space="0" w:color="auto"/>
        <w:left w:val="none" w:sz="0" w:space="0" w:color="auto"/>
        <w:bottom w:val="none" w:sz="0" w:space="0" w:color="auto"/>
        <w:right w:val="none" w:sz="0" w:space="0" w:color="auto"/>
      </w:divBdr>
    </w:div>
    <w:div w:id="248929792">
      <w:bodyDiv w:val="1"/>
      <w:marLeft w:val="0"/>
      <w:marRight w:val="0"/>
      <w:marTop w:val="0"/>
      <w:marBottom w:val="0"/>
      <w:divBdr>
        <w:top w:val="none" w:sz="0" w:space="0" w:color="auto"/>
        <w:left w:val="none" w:sz="0" w:space="0" w:color="auto"/>
        <w:bottom w:val="none" w:sz="0" w:space="0" w:color="auto"/>
        <w:right w:val="none" w:sz="0" w:space="0" w:color="auto"/>
      </w:divBdr>
    </w:div>
    <w:div w:id="403990237">
      <w:bodyDiv w:val="1"/>
      <w:marLeft w:val="0"/>
      <w:marRight w:val="0"/>
      <w:marTop w:val="0"/>
      <w:marBottom w:val="0"/>
      <w:divBdr>
        <w:top w:val="none" w:sz="0" w:space="0" w:color="auto"/>
        <w:left w:val="none" w:sz="0" w:space="0" w:color="auto"/>
        <w:bottom w:val="none" w:sz="0" w:space="0" w:color="auto"/>
        <w:right w:val="none" w:sz="0" w:space="0" w:color="auto"/>
      </w:divBdr>
    </w:div>
    <w:div w:id="558319445">
      <w:bodyDiv w:val="1"/>
      <w:marLeft w:val="0"/>
      <w:marRight w:val="0"/>
      <w:marTop w:val="0"/>
      <w:marBottom w:val="0"/>
      <w:divBdr>
        <w:top w:val="none" w:sz="0" w:space="0" w:color="auto"/>
        <w:left w:val="none" w:sz="0" w:space="0" w:color="auto"/>
        <w:bottom w:val="none" w:sz="0" w:space="0" w:color="auto"/>
        <w:right w:val="none" w:sz="0" w:space="0" w:color="auto"/>
      </w:divBdr>
    </w:div>
    <w:div w:id="705300813">
      <w:bodyDiv w:val="1"/>
      <w:marLeft w:val="0"/>
      <w:marRight w:val="0"/>
      <w:marTop w:val="0"/>
      <w:marBottom w:val="0"/>
      <w:divBdr>
        <w:top w:val="none" w:sz="0" w:space="0" w:color="auto"/>
        <w:left w:val="none" w:sz="0" w:space="0" w:color="auto"/>
        <w:bottom w:val="none" w:sz="0" w:space="0" w:color="auto"/>
        <w:right w:val="none" w:sz="0" w:space="0" w:color="auto"/>
      </w:divBdr>
    </w:div>
    <w:div w:id="856962038">
      <w:bodyDiv w:val="1"/>
      <w:marLeft w:val="0"/>
      <w:marRight w:val="0"/>
      <w:marTop w:val="0"/>
      <w:marBottom w:val="0"/>
      <w:divBdr>
        <w:top w:val="none" w:sz="0" w:space="0" w:color="auto"/>
        <w:left w:val="none" w:sz="0" w:space="0" w:color="auto"/>
        <w:bottom w:val="none" w:sz="0" w:space="0" w:color="auto"/>
        <w:right w:val="none" w:sz="0" w:space="0" w:color="auto"/>
      </w:divBdr>
    </w:div>
    <w:div w:id="878397182">
      <w:bodyDiv w:val="1"/>
      <w:marLeft w:val="0"/>
      <w:marRight w:val="0"/>
      <w:marTop w:val="0"/>
      <w:marBottom w:val="0"/>
      <w:divBdr>
        <w:top w:val="none" w:sz="0" w:space="0" w:color="auto"/>
        <w:left w:val="none" w:sz="0" w:space="0" w:color="auto"/>
        <w:bottom w:val="none" w:sz="0" w:space="0" w:color="auto"/>
        <w:right w:val="none" w:sz="0" w:space="0" w:color="auto"/>
      </w:divBdr>
    </w:div>
    <w:div w:id="1059085611">
      <w:bodyDiv w:val="1"/>
      <w:marLeft w:val="0"/>
      <w:marRight w:val="0"/>
      <w:marTop w:val="0"/>
      <w:marBottom w:val="0"/>
      <w:divBdr>
        <w:top w:val="none" w:sz="0" w:space="0" w:color="auto"/>
        <w:left w:val="none" w:sz="0" w:space="0" w:color="auto"/>
        <w:bottom w:val="none" w:sz="0" w:space="0" w:color="auto"/>
        <w:right w:val="none" w:sz="0" w:space="0" w:color="auto"/>
      </w:divBdr>
    </w:div>
    <w:div w:id="1394163120">
      <w:bodyDiv w:val="1"/>
      <w:marLeft w:val="0"/>
      <w:marRight w:val="0"/>
      <w:marTop w:val="0"/>
      <w:marBottom w:val="0"/>
      <w:divBdr>
        <w:top w:val="none" w:sz="0" w:space="0" w:color="auto"/>
        <w:left w:val="none" w:sz="0" w:space="0" w:color="auto"/>
        <w:bottom w:val="none" w:sz="0" w:space="0" w:color="auto"/>
        <w:right w:val="none" w:sz="0" w:space="0" w:color="auto"/>
      </w:divBdr>
    </w:div>
    <w:div w:id="1439789356">
      <w:bodyDiv w:val="1"/>
      <w:marLeft w:val="0"/>
      <w:marRight w:val="0"/>
      <w:marTop w:val="0"/>
      <w:marBottom w:val="0"/>
      <w:divBdr>
        <w:top w:val="none" w:sz="0" w:space="0" w:color="auto"/>
        <w:left w:val="none" w:sz="0" w:space="0" w:color="auto"/>
        <w:bottom w:val="none" w:sz="0" w:space="0" w:color="auto"/>
        <w:right w:val="none" w:sz="0" w:space="0" w:color="auto"/>
      </w:divBdr>
    </w:div>
    <w:div w:id="1605384361">
      <w:bodyDiv w:val="1"/>
      <w:marLeft w:val="0"/>
      <w:marRight w:val="0"/>
      <w:marTop w:val="0"/>
      <w:marBottom w:val="0"/>
      <w:divBdr>
        <w:top w:val="none" w:sz="0" w:space="0" w:color="auto"/>
        <w:left w:val="none" w:sz="0" w:space="0" w:color="auto"/>
        <w:bottom w:val="none" w:sz="0" w:space="0" w:color="auto"/>
        <w:right w:val="none" w:sz="0" w:space="0" w:color="auto"/>
      </w:divBdr>
    </w:div>
    <w:div w:id="1726873710">
      <w:bodyDiv w:val="1"/>
      <w:marLeft w:val="0"/>
      <w:marRight w:val="0"/>
      <w:marTop w:val="0"/>
      <w:marBottom w:val="0"/>
      <w:divBdr>
        <w:top w:val="none" w:sz="0" w:space="0" w:color="auto"/>
        <w:left w:val="none" w:sz="0" w:space="0" w:color="auto"/>
        <w:bottom w:val="none" w:sz="0" w:space="0" w:color="auto"/>
        <w:right w:val="none" w:sz="0" w:space="0" w:color="auto"/>
      </w:divBdr>
    </w:div>
    <w:div w:id="1790320955">
      <w:bodyDiv w:val="1"/>
      <w:marLeft w:val="0"/>
      <w:marRight w:val="0"/>
      <w:marTop w:val="0"/>
      <w:marBottom w:val="0"/>
      <w:divBdr>
        <w:top w:val="none" w:sz="0" w:space="0" w:color="auto"/>
        <w:left w:val="none" w:sz="0" w:space="0" w:color="auto"/>
        <w:bottom w:val="none" w:sz="0" w:space="0" w:color="auto"/>
        <w:right w:val="none" w:sz="0" w:space="0" w:color="auto"/>
      </w:divBdr>
    </w:div>
    <w:div w:id="1916278992">
      <w:bodyDiv w:val="1"/>
      <w:marLeft w:val="0"/>
      <w:marRight w:val="0"/>
      <w:marTop w:val="0"/>
      <w:marBottom w:val="0"/>
      <w:divBdr>
        <w:top w:val="none" w:sz="0" w:space="0" w:color="auto"/>
        <w:left w:val="none" w:sz="0" w:space="0" w:color="auto"/>
        <w:bottom w:val="none" w:sz="0" w:space="0" w:color="auto"/>
        <w:right w:val="none" w:sz="0" w:space="0" w:color="auto"/>
      </w:divBdr>
    </w:div>
    <w:div w:id="201918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CC6C3-CCFB-4FE1-8548-588EB0C8E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2</cp:revision>
  <dcterms:created xsi:type="dcterms:W3CDTF">2026-08-07T15:01:00Z</dcterms:created>
  <dcterms:modified xsi:type="dcterms:W3CDTF">2026-08-07T15:01:00Z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3026c0a0-013d-435a-b0dc-c888e313d7e8</vt:lpwstr>
  </property>
</Properties>
</file>